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4BAAC9" w14:textId="7C72ED38" w:rsidR="00CF63D9" w:rsidRPr="00CF63D9" w:rsidRDefault="00CF63D9" w:rsidP="00CF63D9">
      <w:r w:rsidRPr="00CF63D9">
        <w:rPr>
          <w:b/>
          <w:bCs/>
        </w:rPr>
        <w:t>Policy on Indirect Costs for Academic Collaborations</w:t>
      </w:r>
    </w:p>
    <w:p w14:paraId="62E3B41D" w14:textId="0AEEC21B" w:rsidR="00CF63D9" w:rsidRPr="00CF63D9" w:rsidRDefault="00CF63D9" w:rsidP="00CF63D9">
      <w:r w:rsidRPr="00CF63D9">
        <w:rPr>
          <w:b/>
          <w:bCs/>
        </w:rPr>
        <w:t>Effective Date:</w:t>
      </w:r>
      <w:r w:rsidRPr="00CF63D9">
        <w:t xml:space="preserve"> </w:t>
      </w:r>
      <w:r>
        <w:t>January 1</w:t>
      </w:r>
      <w:r w:rsidRPr="00CF63D9">
        <w:t>, 2026</w:t>
      </w:r>
    </w:p>
    <w:p w14:paraId="4B83E56C" w14:textId="77777777" w:rsidR="00E505EA" w:rsidRPr="00E505EA" w:rsidRDefault="00E505EA" w:rsidP="00E505EA">
      <w:r w:rsidRPr="00E505EA">
        <w:rPr>
          <w:b/>
          <w:bCs/>
        </w:rPr>
        <w:t>Policy Statement:</w:t>
      </w:r>
      <w:r w:rsidRPr="00E505EA">
        <w:t xml:space="preserve"> </w:t>
      </w:r>
      <w:proofErr w:type="spellStart"/>
      <w:r w:rsidRPr="00E505EA">
        <w:t>Bileomix</w:t>
      </w:r>
      <w:proofErr w:type="spellEnd"/>
      <w:r w:rsidRPr="00E505EA">
        <w:t xml:space="preserve"> Inc. (the "Company") is committed to fostering innovative research collaborations with academic institutions to advance scientific discovery in fields such as gut health, microbiome analysis, and personalized nutrition. To promote efficient use of resources and maximize the impact of limited funding, the Company has established this policy limiting indirect costs (IDC, also known as facilities and administrative costs or overhead) for qualifying academic grantees.</w:t>
      </w:r>
    </w:p>
    <w:p w14:paraId="1E05398D" w14:textId="77777777" w:rsidR="00E505EA" w:rsidRPr="00E505EA" w:rsidRDefault="00E505EA" w:rsidP="00E505EA">
      <w:r w:rsidRPr="00E505EA">
        <w:rPr>
          <w:b/>
          <w:bCs/>
        </w:rPr>
        <w:t>Scope:</w:t>
      </w:r>
      <w:r w:rsidRPr="00E505EA">
        <w:t xml:space="preserve"> This policy applies to all industry-sponsored research agreements where </w:t>
      </w:r>
      <w:proofErr w:type="spellStart"/>
      <w:r w:rsidRPr="00E505EA">
        <w:t>Bileomix</w:t>
      </w:r>
      <w:proofErr w:type="spellEnd"/>
      <w:r w:rsidRPr="00E505EA">
        <w:t xml:space="preserve"> Inc. acts as the sponsor and the recipient is an accredited academic institution or university. It covers projects focused on basic or applied research, including but not limited to clinical trials, analytical services, and collaborative studies utilizing Company technologies (e.g., </w:t>
      </w:r>
      <w:proofErr w:type="spellStart"/>
      <w:r w:rsidRPr="00E505EA">
        <w:t>S'Wipe</w:t>
      </w:r>
      <w:proofErr w:type="spellEnd"/>
      <w:r w:rsidRPr="00E505EA">
        <w:t xml:space="preserve"> gut health tests).</w:t>
      </w:r>
    </w:p>
    <w:p w14:paraId="497D9D7B" w14:textId="77777777" w:rsidR="00E505EA" w:rsidRPr="00E505EA" w:rsidRDefault="00E505EA" w:rsidP="00E505EA">
      <w:r w:rsidRPr="00E505EA">
        <w:rPr>
          <w:b/>
          <w:bCs/>
        </w:rPr>
        <w:t>Indirect Cost Limitation:</w:t>
      </w:r>
      <w:r w:rsidRPr="00E505EA">
        <w:t xml:space="preserve"> For all qualifying projects with total direct costs under $50,000, the Company will not reimburse indirect costs, setting the IDC rate at 0%. This limitation ensures that funds are directed primarily toward direct research expenses, such as personnel, materials, participant support, and analytical services, without additional overhead burdens.</w:t>
      </w:r>
    </w:p>
    <w:p w14:paraId="730F478E" w14:textId="77777777" w:rsidR="00E505EA" w:rsidRPr="00E505EA" w:rsidRDefault="00E505EA" w:rsidP="00E505EA">
      <w:r w:rsidRPr="00E505EA">
        <w:t>Qualifying projects must:</w:t>
      </w:r>
    </w:p>
    <w:p w14:paraId="2C39048E" w14:textId="77777777" w:rsidR="00E505EA" w:rsidRPr="00E505EA" w:rsidRDefault="00E505EA" w:rsidP="00E505EA">
      <w:pPr>
        <w:numPr>
          <w:ilvl w:val="0"/>
          <w:numId w:val="6"/>
        </w:numPr>
      </w:pPr>
      <w:r w:rsidRPr="00E505EA">
        <w:t>Be non-commercial in nature (e.g., aimed at generating publishable data or proof-of-concept results).</w:t>
      </w:r>
    </w:p>
    <w:p w14:paraId="227079B4" w14:textId="77777777" w:rsidR="00E505EA" w:rsidRPr="00E505EA" w:rsidRDefault="00E505EA" w:rsidP="00E505EA">
      <w:pPr>
        <w:numPr>
          <w:ilvl w:val="0"/>
          <w:numId w:val="6"/>
        </w:numPr>
      </w:pPr>
      <w:r w:rsidRPr="00E505EA">
        <w:t>Involve mutual scientific benefits, such as co-authorship opportunities or shared intellectual property rights as defined in the agreement.</w:t>
      </w:r>
    </w:p>
    <w:p w14:paraId="4FF9B81F" w14:textId="77777777" w:rsidR="00E505EA" w:rsidRPr="00E505EA" w:rsidRDefault="00E505EA" w:rsidP="00E505EA">
      <w:pPr>
        <w:numPr>
          <w:ilvl w:val="0"/>
          <w:numId w:val="6"/>
        </w:numPr>
      </w:pPr>
      <w:r w:rsidRPr="00E505EA">
        <w:t xml:space="preserve">Comply with all applicable laws, regulations, and ethical standards, including IRB approvals for human </w:t>
      </w:r>
      <w:proofErr w:type="gramStart"/>
      <w:r w:rsidRPr="00E505EA">
        <w:t>subjects</w:t>
      </w:r>
      <w:proofErr w:type="gramEnd"/>
      <w:r w:rsidRPr="00E505EA">
        <w:t xml:space="preserve"> research.</w:t>
      </w:r>
    </w:p>
    <w:p w14:paraId="3A194CE9" w14:textId="77777777" w:rsidR="00E505EA" w:rsidRPr="00E505EA" w:rsidRDefault="00E505EA" w:rsidP="00E505EA">
      <w:r w:rsidRPr="00E505EA">
        <w:t>For projects exceeding $50,000 in direct costs, IDC rates may be negotiated on a case-by-case basis, not to exceed 20% of modified total direct costs (MTDC), in alignment with federal guidelines where applicable.</w:t>
      </w:r>
    </w:p>
    <w:p w14:paraId="77A863B4" w14:textId="77777777" w:rsidR="00E505EA" w:rsidRPr="00E505EA" w:rsidRDefault="00E505EA" w:rsidP="00E505EA">
      <w:r w:rsidRPr="00E505EA">
        <w:rPr>
          <w:b/>
          <w:bCs/>
        </w:rPr>
        <w:t>Rationale:</w:t>
      </w:r>
    </w:p>
    <w:p w14:paraId="1205E129" w14:textId="77777777" w:rsidR="00E505EA" w:rsidRPr="00E505EA" w:rsidRDefault="00E505EA" w:rsidP="00E505EA">
      <w:pPr>
        <w:numPr>
          <w:ilvl w:val="0"/>
          <w:numId w:val="7"/>
        </w:numPr>
      </w:pPr>
      <w:r w:rsidRPr="00E505EA">
        <w:rPr>
          <w:b/>
          <w:bCs/>
        </w:rPr>
        <w:t>Resource Efficiency:</w:t>
      </w:r>
      <w:r w:rsidRPr="00E505EA">
        <w:t xml:space="preserve"> By waiving or limiting IDC, the Company enables academic partners to allocate more resources to core research activities, accelerating innovation and outcomes.</w:t>
      </w:r>
    </w:p>
    <w:p w14:paraId="069BA39C" w14:textId="77777777" w:rsidR="00E505EA" w:rsidRPr="00E505EA" w:rsidRDefault="00E505EA" w:rsidP="00E505EA">
      <w:pPr>
        <w:numPr>
          <w:ilvl w:val="0"/>
          <w:numId w:val="7"/>
        </w:numPr>
      </w:pPr>
      <w:r w:rsidRPr="00E505EA">
        <w:rPr>
          <w:b/>
          <w:bCs/>
        </w:rPr>
        <w:t>Mutual Benefit:</w:t>
      </w:r>
      <w:r w:rsidRPr="00E505EA">
        <w:t xml:space="preserve"> This approach strengthens long-term partnerships, facilitating joint publications, grant applications, and future collaborations.</w:t>
      </w:r>
    </w:p>
    <w:p w14:paraId="1BE0569D" w14:textId="77777777" w:rsidR="00E505EA" w:rsidRPr="00E505EA" w:rsidRDefault="00E505EA" w:rsidP="00E505EA">
      <w:pPr>
        <w:numPr>
          <w:ilvl w:val="0"/>
          <w:numId w:val="7"/>
        </w:numPr>
      </w:pPr>
      <w:r w:rsidRPr="00E505EA">
        <w:rPr>
          <w:b/>
          <w:bCs/>
        </w:rPr>
        <w:t>Consistency:</w:t>
      </w:r>
      <w:r w:rsidRPr="00E505EA">
        <w:t xml:space="preserve"> The policy is applied uniformly to all academic grantees to ensure fairness and transparency.</w:t>
      </w:r>
    </w:p>
    <w:p w14:paraId="08678EB2" w14:textId="77777777" w:rsidR="00E505EA" w:rsidRPr="00E505EA" w:rsidRDefault="00E505EA" w:rsidP="00E505EA">
      <w:r w:rsidRPr="00E505EA">
        <w:rPr>
          <w:b/>
          <w:bCs/>
        </w:rPr>
        <w:lastRenderedPageBreak/>
        <w:t>Implementation:</w:t>
      </w:r>
    </w:p>
    <w:p w14:paraId="07D9E4FC" w14:textId="77777777" w:rsidR="00E505EA" w:rsidRPr="00E505EA" w:rsidRDefault="00E505EA" w:rsidP="00E505EA">
      <w:pPr>
        <w:numPr>
          <w:ilvl w:val="0"/>
          <w:numId w:val="8"/>
        </w:numPr>
      </w:pPr>
      <w:r w:rsidRPr="00E505EA">
        <w:t>This policy will be referenced in all relevant sponsored research agreements.</w:t>
      </w:r>
    </w:p>
    <w:p w14:paraId="4D32525D" w14:textId="77777777" w:rsidR="00E505EA" w:rsidRPr="00E505EA" w:rsidRDefault="00E505EA" w:rsidP="00E505EA">
      <w:pPr>
        <w:numPr>
          <w:ilvl w:val="0"/>
          <w:numId w:val="8"/>
        </w:numPr>
      </w:pPr>
      <w:r w:rsidRPr="00E505EA">
        <w:t>Academic partners may request confirmation of this policy during budget negotiations.</w:t>
      </w:r>
    </w:p>
    <w:p w14:paraId="1E8EAA2E" w14:textId="77777777" w:rsidR="00E505EA" w:rsidRPr="00E505EA" w:rsidRDefault="00E505EA" w:rsidP="00E505EA">
      <w:pPr>
        <w:numPr>
          <w:ilvl w:val="0"/>
          <w:numId w:val="8"/>
        </w:numPr>
      </w:pPr>
      <w:r w:rsidRPr="00E505EA">
        <w:t>The Company reserves the right to audit project expenditures to ensure compliance with direct cost usage.</w:t>
      </w:r>
    </w:p>
    <w:p w14:paraId="62236BDE" w14:textId="5F87585B" w:rsidR="00E505EA" w:rsidRPr="00E505EA" w:rsidRDefault="00E505EA" w:rsidP="00E505EA">
      <w:r w:rsidRPr="00E505EA">
        <w:rPr>
          <w:b/>
          <w:bCs/>
        </w:rPr>
        <w:t>Contact:</w:t>
      </w:r>
      <w:r w:rsidRPr="00E505EA">
        <w:t xml:space="preserve"> For questions or to discuss applicability, contact: Alexey Melnik, CEO </w:t>
      </w:r>
      <w:proofErr w:type="spellStart"/>
      <w:r w:rsidRPr="00E505EA">
        <w:t>Bileomix</w:t>
      </w:r>
      <w:proofErr w:type="spellEnd"/>
      <w:r w:rsidRPr="00E505EA">
        <w:t xml:space="preserve"> Inc. Email: </w:t>
      </w:r>
      <w:hyperlink r:id="rId11" w:history="1">
        <w:r w:rsidR="00C05AA8" w:rsidRPr="000D3165">
          <w:rPr>
            <w:rStyle w:val="Hyperlink"/>
          </w:rPr>
          <w:t>info</w:t>
        </w:r>
        <w:r w:rsidR="00C05AA8" w:rsidRPr="000D3165">
          <w:rPr>
            <w:rStyle w:val="Hyperlink"/>
          </w:rPr>
          <w:t>@bileomix.com</w:t>
        </w:r>
      </w:hyperlink>
    </w:p>
    <w:p w14:paraId="03EE1698" w14:textId="77777777" w:rsidR="00E505EA" w:rsidRPr="00E505EA" w:rsidRDefault="00E505EA" w:rsidP="00E505EA">
      <w:r w:rsidRPr="00E505EA">
        <w:t xml:space="preserve">This policy is publicly available on the Company's website and may be updated periodically. All changes will be posted </w:t>
      </w:r>
      <w:proofErr w:type="gramStart"/>
      <w:r w:rsidRPr="00E505EA">
        <w:t>with</w:t>
      </w:r>
      <w:proofErr w:type="gramEnd"/>
      <w:r w:rsidRPr="00E505EA">
        <w:t xml:space="preserve"> an effective date.</w:t>
      </w:r>
    </w:p>
    <w:p w14:paraId="1C5263B3" w14:textId="1915E49B" w:rsidR="004310ED" w:rsidRPr="00CF63D9" w:rsidRDefault="004310ED" w:rsidP="00CF63D9"/>
    <w:sectPr w:rsidR="004310ED" w:rsidRPr="00CF63D9">
      <w:headerReference w:type="default"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15B4C" w14:textId="77777777" w:rsidR="00E10317" w:rsidRDefault="00E10317">
      <w:pPr>
        <w:spacing w:after="0" w:line="240" w:lineRule="auto"/>
      </w:pPr>
      <w:r>
        <w:separator/>
      </w:r>
    </w:p>
  </w:endnote>
  <w:endnote w:type="continuationSeparator" w:id="0">
    <w:p w14:paraId="47A74C1C" w14:textId="77777777" w:rsidR="00E10317" w:rsidRDefault="00E10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5F83B35" w14:paraId="1333BEF8" w14:textId="77777777" w:rsidTr="05F83B35">
      <w:trPr>
        <w:trHeight w:val="300"/>
      </w:trPr>
      <w:tc>
        <w:tcPr>
          <w:tcW w:w="3120" w:type="dxa"/>
        </w:tcPr>
        <w:p w14:paraId="55428150" w14:textId="36C252E1" w:rsidR="05F83B35" w:rsidRDefault="05F83B35" w:rsidP="05F83B35">
          <w:pPr>
            <w:pStyle w:val="Header"/>
            <w:ind w:left="-115"/>
          </w:pPr>
        </w:p>
      </w:tc>
      <w:tc>
        <w:tcPr>
          <w:tcW w:w="3120" w:type="dxa"/>
        </w:tcPr>
        <w:p w14:paraId="6A16D1E5" w14:textId="17E270A7" w:rsidR="05F83B35" w:rsidRDefault="05F83B35" w:rsidP="05F83B35">
          <w:pPr>
            <w:pStyle w:val="Header"/>
            <w:jc w:val="center"/>
          </w:pPr>
        </w:p>
      </w:tc>
      <w:tc>
        <w:tcPr>
          <w:tcW w:w="3120" w:type="dxa"/>
        </w:tcPr>
        <w:p w14:paraId="1A3C0B08" w14:textId="675E9EE9" w:rsidR="05F83B35" w:rsidRDefault="05F83B35" w:rsidP="05F83B35">
          <w:pPr>
            <w:pStyle w:val="Header"/>
            <w:ind w:right="-115"/>
            <w:jc w:val="right"/>
          </w:pPr>
        </w:p>
      </w:tc>
    </w:tr>
  </w:tbl>
  <w:p w14:paraId="14076853" w14:textId="0B8E0B8C" w:rsidR="05F83B35" w:rsidRDefault="05F83B35" w:rsidP="05F83B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2059DC3" w14:paraId="3EECED21" w14:textId="77777777" w:rsidTr="22059DC3">
      <w:trPr>
        <w:trHeight w:val="300"/>
      </w:trPr>
      <w:tc>
        <w:tcPr>
          <w:tcW w:w="3120" w:type="dxa"/>
        </w:tcPr>
        <w:p w14:paraId="135EC1BB" w14:textId="012D3E5A" w:rsidR="22059DC3" w:rsidRDefault="22059DC3" w:rsidP="22059DC3">
          <w:pPr>
            <w:pStyle w:val="Header"/>
            <w:ind w:left="-115"/>
          </w:pPr>
        </w:p>
      </w:tc>
      <w:tc>
        <w:tcPr>
          <w:tcW w:w="3120" w:type="dxa"/>
        </w:tcPr>
        <w:p w14:paraId="6E74DA5E" w14:textId="6ECF5282" w:rsidR="22059DC3" w:rsidRDefault="22059DC3" w:rsidP="22059DC3">
          <w:pPr>
            <w:pStyle w:val="Header"/>
            <w:jc w:val="center"/>
          </w:pPr>
        </w:p>
      </w:tc>
      <w:tc>
        <w:tcPr>
          <w:tcW w:w="3120" w:type="dxa"/>
        </w:tcPr>
        <w:p w14:paraId="4F129798" w14:textId="75BEA9AE" w:rsidR="22059DC3" w:rsidRDefault="22059DC3" w:rsidP="22059DC3">
          <w:pPr>
            <w:pStyle w:val="Header"/>
            <w:ind w:right="-115"/>
            <w:jc w:val="right"/>
          </w:pPr>
        </w:p>
      </w:tc>
    </w:tr>
  </w:tbl>
  <w:p w14:paraId="1F742947" w14:textId="5C60EF15" w:rsidR="22059DC3" w:rsidRDefault="22059DC3" w:rsidP="22059D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55CDA" w14:textId="77777777" w:rsidR="00E10317" w:rsidRDefault="00E10317">
      <w:pPr>
        <w:spacing w:after="0" w:line="240" w:lineRule="auto"/>
      </w:pPr>
      <w:r>
        <w:separator/>
      </w:r>
    </w:p>
  </w:footnote>
  <w:footnote w:type="continuationSeparator" w:id="0">
    <w:p w14:paraId="028D0B12" w14:textId="77777777" w:rsidR="00E10317" w:rsidRDefault="00E103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505" w:type="dxa"/>
      <w:tblInd w:w="-1065" w:type="dxa"/>
      <w:tblBorders>
        <w:bottom w:val="thickThinMediumGap" w:sz="12" w:space="0" w:color="auto"/>
      </w:tblBorders>
      <w:tblLayout w:type="fixed"/>
      <w:tblLook w:val="06A0" w:firstRow="1" w:lastRow="0" w:firstColumn="1" w:lastColumn="0" w:noHBand="1" w:noVBand="1"/>
    </w:tblPr>
    <w:tblGrid>
      <w:gridCol w:w="2603"/>
      <w:gridCol w:w="5067"/>
      <w:gridCol w:w="3835"/>
    </w:tblGrid>
    <w:tr w:rsidR="05F83B35" w:rsidRPr="00A753B2" w14:paraId="55E23763" w14:textId="77777777" w:rsidTr="00B95DF5">
      <w:trPr>
        <w:trHeight w:val="1586"/>
      </w:trPr>
      <w:tc>
        <w:tcPr>
          <w:tcW w:w="2603" w:type="dxa"/>
        </w:tcPr>
        <w:p w14:paraId="332406B2" w14:textId="16B95561" w:rsidR="05F83B35" w:rsidRPr="003728CA" w:rsidRDefault="5E96E65F" w:rsidP="00B95DF5">
          <w:pPr>
            <w:pStyle w:val="Header"/>
            <w:ind w:left="-115"/>
            <w:jc w:val="right"/>
            <w:rPr>
              <w:sz w:val="24"/>
              <w:szCs w:val="24"/>
            </w:rPr>
          </w:pPr>
          <w:r w:rsidRPr="003728CA">
            <w:rPr>
              <w:noProof/>
              <w:sz w:val="24"/>
              <w:szCs w:val="24"/>
            </w:rPr>
            <w:drawing>
              <wp:inline distT="0" distB="0" distL="0" distR="0" wp14:anchorId="4FFF52C6" wp14:editId="72A3CA50">
                <wp:extent cx="1323975" cy="704850"/>
                <wp:effectExtent l="0" t="0" r="0" b="0"/>
                <wp:docPr id="1017011860" name="Picture 101701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323975" cy="704850"/>
                        </a:xfrm>
                        <a:prstGeom prst="rect">
                          <a:avLst/>
                        </a:prstGeom>
                      </pic:spPr>
                    </pic:pic>
                  </a:graphicData>
                </a:graphic>
              </wp:inline>
            </w:drawing>
          </w:r>
        </w:p>
      </w:tc>
      <w:tc>
        <w:tcPr>
          <w:tcW w:w="5067" w:type="dxa"/>
        </w:tcPr>
        <w:p w14:paraId="54CC8682" w14:textId="037630B6" w:rsidR="05F83B35" w:rsidRPr="003728CA" w:rsidRDefault="05F83B35" w:rsidP="00B95DF5">
          <w:pPr>
            <w:pStyle w:val="Header"/>
            <w:rPr>
              <w:rFonts w:ascii="Aptos" w:hAnsi="Aptos"/>
              <w:sz w:val="24"/>
              <w:szCs w:val="24"/>
            </w:rPr>
          </w:pPr>
          <w:r w:rsidRPr="003728CA">
            <w:rPr>
              <w:rFonts w:ascii="Aptos" w:hAnsi="Aptos"/>
              <w:sz w:val="24"/>
              <w:szCs w:val="24"/>
            </w:rPr>
            <w:t>400 Farmington Avenue</w:t>
          </w:r>
          <w:r w:rsidR="003728CA" w:rsidRPr="003728CA">
            <w:rPr>
              <w:rFonts w:ascii="Aptos" w:hAnsi="Aptos"/>
              <w:sz w:val="24"/>
              <w:szCs w:val="24"/>
            </w:rPr>
            <w:t>, R2832</w:t>
          </w:r>
        </w:p>
        <w:p w14:paraId="44386B6D" w14:textId="611589B2" w:rsidR="05F83B35" w:rsidRPr="003728CA" w:rsidRDefault="22059DC3" w:rsidP="00B95DF5">
          <w:pPr>
            <w:pStyle w:val="Header"/>
            <w:rPr>
              <w:rFonts w:ascii="Aptos" w:hAnsi="Aptos"/>
              <w:sz w:val="24"/>
              <w:szCs w:val="24"/>
            </w:rPr>
          </w:pPr>
          <w:r w:rsidRPr="003728CA">
            <w:rPr>
              <w:rFonts w:ascii="Aptos" w:hAnsi="Aptos"/>
              <w:sz w:val="24"/>
              <w:szCs w:val="24"/>
            </w:rPr>
            <w:t>Farmington, CT  06032</w:t>
          </w:r>
        </w:p>
        <w:p w14:paraId="52F545A3" w14:textId="58685968" w:rsidR="22059DC3" w:rsidRPr="00AE2102" w:rsidRDefault="003728CA" w:rsidP="00B95DF5">
          <w:pPr>
            <w:pStyle w:val="Header"/>
            <w:rPr>
              <w:rFonts w:ascii="Aptos" w:hAnsi="Aptos"/>
              <w:sz w:val="24"/>
              <w:szCs w:val="24"/>
              <w:lang w:val="es-ES"/>
            </w:rPr>
          </w:pPr>
          <w:r w:rsidRPr="00AE2102">
            <w:rPr>
              <w:rFonts w:ascii="Aptos" w:hAnsi="Aptos"/>
              <w:sz w:val="24"/>
              <w:szCs w:val="24"/>
              <w:lang w:val="es-ES"/>
            </w:rPr>
            <w:t xml:space="preserve">P: </w:t>
          </w:r>
          <w:r w:rsidR="22059DC3" w:rsidRPr="00AE2102">
            <w:rPr>
              <w:rFonts w:ascii="Aptos" w:hAnsi="Aptos"/>
              <w:sz w:val="24"/>
              <w:szCs w:val="24"/>
              <w:lang w:val="es-ES"/>
            </w:rPr>
            <w:t>860-300-8287</w:t>
          </w:r>
        </w:p>
        <w:p w14:paraId="55346E63" w14:textId="322D61EB" w:rsidR="05F83B35" w:rsidRPr="00AE2102" w:rsidRDefault="003728CA" w:rsidP="00B95DF5">
          <w:pPr>
            <w:pStyle w:val="Header"/>
            <w:rPr>
              <w:rFonts w:ascii="Arial Nova" w:hAnsi="Arial Nova"/>
              <w:sz w:val="24"/>
              <w:szCs w:val="24"/>
              <w:lang w:val="es-ES"/>
            </w:rPr>
          </w:pPr>
          <w:r w:rsidRPr="00AE2102">
            <w:rPr>
              <w:rFonts w:ascii="Aptos" w:hAnsi="Aptos"/>
              <w:sz w:val="24"/>
              <w:szCs w:val="24"/>
              <w:lang w:val="es-ES"/>
            </w:rPr>
            <w:t>E: info@bileomix.com</w:t>
          </w:r>
        </w:p>
      </w:tc>
      <w:tc>
        <w:tcPr>
          <w:tcW w:w="3835" w:type="dxa"/>
        </w:tcPr>
        <w:p w14:paraId="71EC6BCA" w14:textId="3ADEE964" w:rsidR="05F83B35" w:rsidRPr="00AE2102" w:rsidRDefault="05F83B35" w:rsidP="00B95DF5">
          <w:pPr>
            <w:pStyle w:val="Header"/>
            <w:ind w:right="-115"/>
            <w:rPr>
              <w:rFonts w:ascii="Arial Nova" w:hAnsi="Arial Nova"/>
              <w:sz w:val="24"/>
              <w:szCs w:val="24"/>
              <w:lang w:val="es-ES"/>
            </w:rPr>
          </w:pPr>
        </w:p>
      </w:tc>
    </w:tr>
  </w:tbl>
  <w:p w14:paraId="15FFD53A" w14:textId="06969742" w:rsidR="05F83B35" w:rsidRPr="00AE2102" w:rsidRDefault="05F83B35" w:rsidP="05F83B35">
    <w:pPr>
      <w:pStyle w:val="Header"/>
      <w:rPr>
        <w:rFonts w:ascii="Arial Nova" w:hAnsi="Arial Nova"/>
        <w:lang w:val="es-E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2059DC3" w14:paraId="0D35873E" w14:textId="77777777" w:rsidTr="22059DC3">
      <w:trPr>
        <w:trHeight w:val="300"/>
      </w:trPr>
      <w:tc>
        <w:tcPr>
          <w:tcW w:w="3120" w:type="dxa"/>
        </w:tcPr>
        <w:p w14:paraId="03946D35" w14:textId="5E3517A1" w:rsidR="22059DC3" w:rsidRDefault="22059DC3" w:rsidP="22059DC3">
          <w:pPr>
            <w:pStyle w:val="Header"/>
            <w:ind w:left="-115"/>
          </w:pPr>
        </w:p>
      </w:tc>
      <w:tc>
        <w:tcPr>
          <w:tcW w:w="3120" w:type="dxa"/>
        </w:tcPr>
        <w:p w14:paraId="2C0A4485" w14:textId="23136E7F" w:rsidR="22059DC3" w:rsidRDefault="22059DC3" w:rsidP="22059DC3">
          <w:pPr>
            <w:pStyle w:val="Header"/>
            <w:jc w:val="center"/>
          </w:pPr>
        </w:p>
      </w:tc>
      <w:tc>
        <w:tcPr>
          <w:tcW w:w="3120" w:type="dxa"/>
        </w:tcPr>
        <w:p w14:paraId="4E367F35" w14:textId="552960D9" w:rsidR="22059DC3" w:rsidRDefault="22059DC3" w:rsidP="22059DC3">
          <w:pPr>
            <w:pStyle w:val="Header"/>
            <w:ind w:right="-115"/>
            <w:jc w:val="right"/>
          </w:pPr>
        </w:p>
      </w:tc>
    </w:tr>
  </w:tbl>
  <w:p w14:paraId="082B5178" w14:textId="53293D7B" w:rsidR="22059DC3" w:rsidRDefault="22059DC3" w:rsidP="22059D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A16EB6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8375034"/>
    <w:multiLevelType w:val="multilevel"/>
    <w:tmpl w:val="26166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C1023F"/>
    <w:multiLevelType w:val="multilevel"/>
    <w:tmpl w:val="D46A8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031DE4"/>
    <w:multiLevelType w:val="multilevel"/>
    <w:tmpl w:val="D6D08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EE56C7"/>
    <w:multiLevelType w:val="multilevel"/>
    <w:tmpl w:val="AA2AB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F902F8"/>
    <w:multiLevelType w:val="multilevel"/>
    <w:tmpl w:val="0646E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227694"/>
    <w:multiLevelType w:val="multilevel"/>
    <w:tmpl w:val="BE8A5C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A276CA1"/>
    <w:multiLevelType w:val="multilevel"/>
    <w:tmpl w:val="6CAA5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0057394">
    <w:abstractNumId w:val="0"/>
  </w:num>
  <w:num w:numId="2" w16cid:durableId="884489205">
    <w:abstractNumId w:val="6"/>
  </w:num>
  <w:num w:numId="3" w16cid:durableId="1193299118">
    <w:abstractNumId w:val="2"/>
  </w:num>
  <w:num w:numId="4" w16cid:durableId="1357273405">
    <w:abstractNumId w:val="7"/>
  </w:num>
  <w:num w:numId="5" w16cid:durableId="1098867493">
    <w:abstractNumId w:val="3"/>
  </w:num>
  <w:num w:numId="6" w16cid:durableId="1456562080">
    <w:abstractNumId w:val="1"/>
  </w:num>
  <w:num w:numId="7" w16cid:durableId="1222256810">
    <w:abstractNumId w:val="4"/>
  </w:num>
  <w:num w:numId="8" w16cid:durableId="20622905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82D0EFB"/>
    <w:rsid w:val="00123D85"/>
    <w:rsid w:val="00187FA4"/>
    <w:rsid w:val="001A0EF2"/>
    <w:rsid w:val="001E2A3B"/>
    <w:rsid w:val="002932AB"/>
    <w:rsid w:val="002A1927"/>
    <w:rsid w:val="002C2AD2"/>
    <w:rsid w:val="002C7843"/>
    <w:rsid w:val="002F79A7"/>
    <w:rsid w:val="00305239"/>
    <w:rsid w:val="00330A11"/>
    <w:rsid w:val="003728CA"/>
    <w:rsid w:val="004310ED"/>
    <w:rsid w:val="00443D02"/>
    <w:rsid w:val="004C1B22"/>
    <w:rsid w:val="00521876"/>
    <w:rsid w:val="00576D2A"/>
    <w:rsid w:val="005956F4"/>
    <w:rsid w:val="0068623F"/>
    <w:rsid w:val="0070477B"/>
    <w:rsid w:val="0071481A"/>
    <w:rsid w:val="0073545B"/>
    <w:rsid w:val="00750CA1"/>
    <w:rsid w:val="00756C43"/>
    <w:rsid w:val="008D5890"/>
    <w:rsid w:val="00911888"/>
    <w:rsid w:val="00916C53"/>
    <w:rsid w:val="009277A8"/>
    <w:rsid w:val="00966C83"/>
    <w:rsid w:val="0098738E"/>
    <w:rsid w:val="009D2F9F"/>
    <w:rsid w:val="00A42C41"/>
    <w:rsid w:val="00A4688D"/>
    <w:rsid w:val="00A753B2"/>
    <w:rsid w:val="00AE1AC1"/>
    <w:rsid w:val="00AE2102"/>
    <w:rsid w:val="00B95DF5"/>
    <w:rsid w:val="00C05AA8"/>
    <w:rsid w:val="00C57238"/>
    <w:rsid w:val="00C64E8C"/>
    <w:rsid w:val="00CF63D9"/>
    <w:rsid w:val="00D37F84"/>
    <w:rsid w:val="00D53312"/>
    <w:rsid w:val="00D56074"/>
    <w:rsid w:val="00D610DD"/>
    <w:rsid w:val="00DB7305"/>
    <w:rsid w:val="00DC4FF6"/>
    <w:rsid w:val="00E10317"/>
    <w:rsid w:val="00E505EA"/>
    <w:rsid w:val="00E91D12"/>
    <w:rsid w:val="00EB5C02"/>
    <w:rsid w:val="00EF2478"/>
    <w:rsid w:val="00F07DDE"/>
    <w:rsid w:val="00F2023C"/>
    <w:rsid w:val="0200D359"/>
    <w:rsid w:val="05F83B35"/>
    <w:rsid w:val="0D5D8CD3"/>
    <w:rsid w:val="12D0F15A"/>
    <w:rsid w:val="1343E2C6"/>
    <w:rsid w:val="1F75D9FC"/>
    <w:rsid w:val="20A38259"/>
    <w:rsid w:val="22059DC3"/>
    <w:rsid w:val="2369A289"/>
    <w:rsid w:val="24494B1F"/>
    <w:rsid w:val="307FC0B9"/>
    <w:rsid w:val="34C1F4B1"/>
    <w:rsid w:val="367B0701"/>
    <w:rsid w:val="38252B00"/>
    <w:rsid w:val="3FD7B2ED"/>
    <w:rsid w:val="408B3E95"/>
    <w:rsid w:val="40D8192E"/>
    <w:rsid w:val="4528431F"/>
    <w:rsid w:val="4999C578"/>
    <w:rsid w:val="4EFEFD15"/>
    <w:rsid w:val="4FBB24E0"/>
    <w:rsid w:val="54F671DF"/>
    <w:rsid w:val="582D0EFB"/>
    <w:rsid w:val="5DFD9A94"/>
    <w:rsid w:val="5E96E65F"/>
    <w:rsid w:val="679AE100"/>
    <w:rsid w:val="6D803A8B"/>
    <w:rsid w:val="76AD4EFD"/>
    <w:rsid w:val="78491F5E"/>
    <w:rsid w:val="7CED4A7F"/>
    <w:rsid w:val="7D49E5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1A61B4"/>
  <w15:chartTrackingRefBased/>
  <w15:docId w15:val="{F6EF97AE-A284-4391-85C5-E0B678E97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545B"/>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73545B"/>
    <w:pPr>
      <w:keepNext/>
      <w:keepLines/>
      <w:spacing w:before="200" w:after="0" w:line="276" w:lineRule="auto"/>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A42C4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NormalWeb">
    <w:name w:val="Normal (Web)"/>
    <w:basedOn w:val="Normal"/>
    <w:uiPriority w:val="99"/>
    <w:semiHidden/>
    <w:unhideWhenUsed/>
    <w:rsid w:val="00C64E8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30A11"/>
    <w:rPr>
      <w:color w:val="0563C1" w:themeColor="hyperlink"/>
      <w:u w:val="single"/>
    </w:rPr>
  </w:style>
  <w:style w:type="character" w:styleId="UnresolvedMention">
    <w:name w:val="Unresolved Mention"/>
    <w:basedOn w:val="DefaultParagraphFont"/>
    <w:uiPriority w:val="99"/>
    <w:semiHidden/>
    <w:unhideWhenUsed/>
    <w:rsid w:val="00330A11"/>
    <w:rPr>
      <w:color w:val="605E5C"/>
      <w:shd w:val="clear" w:color="auto" w:fill="E1DFDD"/>
    </w:rPr>
  </w:style>
  <w:style w:type="character" w:customStyle="1" w:styleId="Heading1Char">
    <w:name w:val="Heading 1 Char"/>
    <w:basedOn w:val="DefaultParagraphFont"/>
    <w:link w:val="Heading1"/>
    <w:uiPriority w:val="9"/>
    <w:rsid w:val="0073545B"/>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73545B"/>
    <w:rPr>
      <w:rFonts w:asciiTheme="majorHAnsi" w:eastAsiaTheme="majorEastAsia" w:hAnsiTheme="majorHAnsi" w:cstheme="majorBidi"/>
      <w:b/>
      <w:bCs/>
      <w:color w:val="4472C4" w:themeColor="accent1"/>
      <w:sz w:val="26"/>
      <w:szCs w:val="26"/>
    </w:rPr>
  </w:style>
  <w:style w:type="paragraph" w:styleId="ListBullet">
    <w:name w:val="List Bullet"/>
    <w:basedOn w:val="Normal"/>
    <w:uiPriority w:val="99"/>
    <w:unhideWhenUsed/>
    <w:rsid w:val="0073545B"/>
    <w:pPr>
      <w:numPr>
        <w:numId w:val="1"/>
      </w:numPr>
      <w:tabs>
        <w:tab w:val="clear" w:pos="360"/>
      </w:tabs>
      <w:spacing w:after="200" w:line="276" w:lineRule="auto"/>
      <w:ind w:left="0" w:firstLine="0"/>
      <w:contextualSpacing/>
    </w:pPr>
    <w:rPr>
      <w:rFonts w:eastAsiaTheme="minorEastAsia"/>
    </w:rPr>
  </w:style>
  <w:style w:type="character" w:customStyle="1" w:styleId="Heading3Char">
    <w:name w:val="Heading 3 Char"/>
    <w:basedOn w:val="DefaultParagraphFont"/>
    <w:link w:val="Heading3"/>
    <w:uiPriority w:val="9"/>
    <w:semiHidden/>
    <w:rsid w:val="00A42C41"/>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7830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bileomix.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3badf83-9833-4f3d-8568-a28248e1fcc9"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EA01A9B37A3B54E93E1A2B4907875E5" ma:contentTypeVersion="11" ma:contentTypeDescription="Create a new document." ma:contentTypeScope="" ma:versionID="13fee8c53182795c302f4026c0cbf781">
  <xsd:schema xmlns:xsd="http://www.w3.org/2001/XMLSchema" xmlns:xs="http://www.w3.org/2001/XMLSchema" xmlns:p="http://schemas.microsoft.com/office/2006/metadata/properties" xmlns:ns3="93badf83-9833-4f3d-8568-a28248e1fcc9" xmlns:ns4="f334b944-c7b1-4385-93a2-38fe68d173c6" targetNamespace="http://schemas.microsoft.com/office/2006/metadata/properties" ma:root="true" ma:fieldsID="fe33d94f40cc7c3d5463f1fde4f6b6aa" ns3:_="" ns4:_="">
    <xsd:import namespace="93badf83-9833-4f3d-8568-a28248e1fcc9"/>
    <xsd:import namespace="f334b944-c7b1-4385-93a2-38fe68d173c6"/>
    <xsd:element name="properties">
      <xsd:complexType>
        <xsd:sequence>
          <xsd:element name="documentManagement">
            <xsd:complexType>
              <xsd:all>
                <xsd:element ref="ns3:MediaServiceMetadata" minOccurs="0"/>
                <xsd:element ref="ns3:MediaServiceFastMetadata" minOccurs="0"/>
                <xsd:element ref="ns3:_activity"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badf83-9833-4f3d-8568-a28248e1fc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334b944-c7b1-4385-93a2-38fe68d173c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8D7808-4D31-46B7-A06F-977E28A990E6}">
  <ds:schemaRefs>
    <ds:schemaRef ds:uri="http://schemas.microsoft.com/office/2006/metadata/properties"/>
    <ds:schemaRef ds:uri="http://schemas.microsoft.com/office/infopath/2007/PartnerControls"/>
    <ds:schemaRef ds:uri="93badf83-9833-4f3d-8568-a28248e1fcc9"/>
  </ds:schemaRefs>
</ds:datastoreItem>
</file>

<file path=customXml/itemProps2.xml><?xml version="1.0" encoding="utf-8"?>
<ds:datastoreItem xmlns:ds="http://schemas.openxmlformats.org/officeDocument/2006/customXml" ds:itemID="{BB67DE93-C453-4B64-B9CB-D4213A3F9CB1}">
  <ds:schemaRefs>
    <ds:schemaRef ds:uri="http://schemas.openxmlformats.org/officeDocument/2006/bibliography"/>
  </ds:schemaRefs>
</ds:datastoreItem>
</file>

<file path=customXml/itemProps3.xml><?xml version="1.0" encoding="utf-8"?>
<ds:datastoreItem xmlns:ds="http://schemas.openxmlformats.org/officeDocument/2006/customXml" ds:itemID="{792DDCF2-66C2-4C93-A5C6-84CC5CBBA1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badf83-9833-4f3d-8568-a28248e1fcc9"/>
    <ds:schemaRef ds:uri="f334b944-c7b1-4385-93a2-38fe68d173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A058D0-4A6D-43CD-8CFE-74604B0034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539</Words>
  <Characters>2448</Characters>
  <Application>Microsoft Office Word</Application>
  <DocSecurity>0</DocSecurity>
  <Lines>53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Monahan</dc:creator>
  <cp:keywords/>
  <dc:description/>
  <cp:lastModifiedBy>Alexey Melnik</cp:lastModifiedBy>
  <cp:revision>2</cp:revision>
  <dcterms:created xsi:type="dcterms:W3CDTF">2026-02-09T20:53:00Z</dcterms:created>
  <dcterms:modified xsi:type="dcterms:W3CDTF">2026-02-09T20:53:00Z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0x010100EEA01A9B37A3B54E93E1A2B4907875E5</vt:lpwstr>
  </property>
</Properties>
</file>